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320" w:type="dxa"/>
        <w:tblInd w:w="-600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4241"/>
        <w:gridCol w:w="6079"/>
      </w:tblGrid>
      <w:tr w:rsidR="00AC7E02">
        <w:tc>
          <w:tcPr>
            <w:tcW w:w="10320" w:type="dxa"/>
            <w:gridSpan w:val="2"/>
            <w:tcBorders>
              <w:top w:val="double" w:sz="12" w:space="0" w:color="00000A"/>
              <w:left w:val="double" w:sz="12" w:space="0" w:color="00000A"/>
              <w:bottom w:val="single" w:sz="4" w:space="0" w:color="00000A"/>
              <w:right w:val="double" w:sz="12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7E02" w:rsidRDefault="00AC7E02">
            <w:pPr>
              <w:pStyle w:val="Standard"/>
              <w:jc w:val="center"/>
            </w:pPr>
          </w:p>
          <w:p w:rsidR="00AC7E02" w:rsidRDefault="00203F4D">
            <w:pPr>
              <w:pStyle w:val="Standard"/>
              <w:jc w:val="center"/>
            </w:pPr>
            <w:r>
              <w:rPr>
                <w:b/>
              </w:rPr>
              <w:t>OBRAZAC</w:t>
            </w:r>
          </w:p>
          <w:p w:rsidR="00AC7E02" w:rsidRDefault="00203F4D">
            <w:pPr>
              <w:pStyle w:val="Standard"/>
              <w:jc w:val="center"/>
            </w:pPr>
            <w:r>
              <w:rPr>
                <w:b/>
              </w:rPr>
              <w:t>sudjelovanja javnosti u internetskom savjetovanju o nacrtu prijedloga odluke</w:t>
            </w:r>
          </w:p>
          <w:p w:rsidR="00AC7E02" w:rsidRDefault="00203F4D">
            <w:pPr>
              <w:pStyle w:val="Standard"/>
              <w:jc w:val="center"/>
            </w:pPr>
            <w:r>
              <w:rPr>
                <w:b/>
              </w:rPr>
              <w:t>ili drugog općeg akta</w:t>
            </w:r>
          </w:p>
          <w:p w:rsidR="00AC7E02" w:rsidRDefault="00AC7E02">
            <w:pPr>
              <w:pStyle w:val="Standard"/>
              <w:jc w:val="center"/>
            </w:pPr>
          </w:p>
        </w:tc>
      </w:tr>
      <w:tr w:rsidR="00AC7E02" w:rsidTr="00D81C6A">
        <w:trPr>
          <w:trHeight w:val="481"/>
        </w:trPr>
        <w:tc>
          <w:tcPr>
            <w:tcW w:w="4241" w:type="dxa"/>
            <w:tcBorders>
              <w:top w:val="single" w:sz="4" w:space="0" w:color="00000A"/>
              <w:left w:val="double" w:sz="12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7E02" w:rsidRDefault="00203F4D">
            <w:pPr>
              <w:pStyle w:val="Standard"/>
            </w:pPr>
            <w:r>
              <w:rPr>
                <w:b/>
              </w:rPr>
              <w:t>Naziv nacrta odluke ili drugog općeg akta o kojem se provodi savjetovanje</w:t>
            </w:r>
          </w:p>
        </w:tc>
        <w:tc>
          <w:tcPr>
            <w:tcW w:w="60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double" w:sz="12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7E02" w:rsidRDefault="00203F4D">
            <w:pPr>
              <w:pStyle w:val="Standard"/>
            </w:pPr>
            <w:r>
              <w:rPr>
                <w:rFonts w:eastAsia="Calibri"/>
              </w:rPr>
              <w:t>Pravilnik</w:t>
            </w:r>
            <w:r>
              <w:rPr>
                <w:rFonts w:eastAsia="Calibri"/>
                <w:bCs/>
              </w:rPr>
              <w:t xml:space="preserve"> o </w:t>
            </w:r>
            <w:r>
              <w:rPr>
                <w:rFonts w:eastAsia="Calibri"/>
              </w:rPr>
              <w:t>izmjenama i dopunama Pravilnika o korištenju javnih parkirališta i javnih garaža</w:t>
            </w:r>
          </w:p>
          <w:p w:rsidR="00AC7E02" w:rsidRDefault="00AC7E02">
            <w:pPr>
              <w:pStyle w:val="Standard"/>
              <w:jc w:val="center"/>
              <w:rPr>
                <w:i/>
              </w:rPr>
            </w:pPr>
          </w:p>
        </w:tc>
      </w:tr>
      <w:tr w:rsidR="00AC7E02" w:rsidTr="00D81C6A">
        <w:trPr>
          <w:trHeight w:val="410"/>
        </w:trPr>
        <w:tc>
          <w:tcPr>
            <w:tcW w:w="4241" w:type="dxa"/>
            <w:tcBorders>
              <w:top w:val="single" w:sz="4" w:space="0" w:color="00000A"/>
              <w:left w:val="double" w:sz="12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7E02" w:rsidRDefault="00203F4D">
            <w:pPr>
              <w:pStyle w:val="Standard"/>
            </w:pPr>
            <w:r>
              <w:rPr>
                <w:b/>
              </w:rPr>
              <w:t>Naziv gradskog upravnog tijela nadležnog za izradu nacrta</w:t>
            </w:r>
          </w:p>
        </w:tc>
        <w:tc>
          <w:tcPr>
            <w:tcW w:w="60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double" w:sz="12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7E02" w:rsidRDefault="00203F4D">
            <w:pPr>
              <w:pStyle w:val="Standard"/>
              <w:jc w:val="both"/>
            </w:pPr>
            <w:r>
              <w:rPr>
                <w:rFonts w:eastAsia="Calibri"/>
                <w:lang w:eastAsia="en-US"/>
              </w:rPr>
              <w:t>Gradski ured za prostorno uređenje, izgradnju Grada, graditeljstvo, komunalne poslove i promet</w:t>
            </w:r>
          </w:p>
          <w:p w:rsidR="00AC7E02" w:rsidRDefault="00AC7E02">
            <w:pPr>
              <w:pStyle w:val="Standard"/>
              <w:jc w:val="center"/>
              <w:rPr>
                <w:b/>
                <w:i/>
              </w:rPr>
            </w:pPr>
          </w:p>
        </w:tc>
      </w:tr>
      <w:tr w:rsidR="00AC7E02" w:rsidTr="00D81C6A">
        <w:trPr>
          <w:trHeight w:val="410"/>
        </w:trPr>
        <w:tc>
          <w:tcPr>
            <w:tcW w:w="4241" w:type="dxa"/>
            <w:tcBorders>
              <w:top w:val="single" w:sz="4" w:space="0" w:color="00000A"/>
              <w:left w:val="double" w:sz="12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7E02" w:rsidRDefault="00203F4D">
            <w:pPr>
              <w:pStyle w:val="Standard"/>
            </w:pPr>
            <w:r>
              <w:rPr>
                <w:b/>
              </w:rPr>
              <w:t>Obrazloženje razloga i ciljeva koji se žele postići donošenjem akta</w:t>
            </w:r>
          </w:p>
        </w:tc>
        <w:tc>
          <w:tcPr>
            <w:tcW w:w="60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double" w:sz="12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7E02" w:rsidRDefault="00203F4D">
            <w:pPr>
              <w:pStyle w:val="ListParagraph"/>
              <w:ind w:left="0"/>
              <w:jc w:val="both"/>
            </w:pPr>
            <w:r>
              <w:rPr>
                <w:sz w:val="24"/>
                <w:szCs w:val="24"/>
              </w:rPr>
              <w:t>Naplata parkiranja kao mjera uređenja prometa u mirovanju uvodi se temeljem inicijativa vijeća mjesnih odbora, vijeća gradskih četvrti i građana, a</w:t>
            </w:r>
            <w:r>
              <w:rPr>
                <w:bCs/>
                <w:iCs/>
                <w:sz w:val="24"/>
                <w:szCs w:val="24"/>
              </w:rPr>
              <w:t xml:space="preserve"> organizator parkiranja Zagrebački holding d.o.o., Podružnica Zagrebparking proveo je analizu prometne situacije na područjima na kojima se planira uvođenje naplate parkiranja. </w:t>
            </w:r>
            <w:r>
              <w:rPr>
                <w:sz w:val="24"/>
                <w:szCs w:val="24"/>
              </w:rPr>
              <w:t xml:space="preserve">Na područjima pod naplatom parkiranja u pravilu dolazi do smanjenja nepropisnog parkiranja te općenito do poboljšanja prometne situacije. </w:t>
            </w:r>
            <w:r>
              <w:rPr>
                <w:bCs/>
                <w:iCs/>
                <w:sz w:val="24"/>
                <w:szCs w:val="24"/>
              </w:rPr>
              <w:t xml:space="preserve">Shodno tome predlaže se proširenje područja naplate parkiranja na slijedeće ulice: </w:t>
            </w:r>
            <w:r>
              <w:rPr>
                <w:sz w:val="24"/>
                <w:szCs w:val="24"/>
              </w:rPr>
              <w:t>Na području Gradske četvrti Gornji Grad – Medveščak I. zona proširuje se na cijelu Mlinarsku, Novu Ves i Medvedgradsku ulicu za što već dulje vrijeme postoje zahtjevi od strane stanara i mjesne samouprave, dok u II. zonu ulazi područje omeđenom Grškovićevom, Mesićevom i Vramčevom ulicom. Na području Gradske četvrti Trnje, II. zona proširuje se na istočnu stranu Ulice Vladimira Ruždjaka i južno od Ulice Prisavlje, a na zapadnoj strani na ulice Ivana Metelka, Dragice Hotko, Mate Ujevića i Vinka Jeđuta što je podržano od strane Vijeća MO Trnjanska Savica i Vijeća MO Staro Trnje. Na području Gradske četvrti Črnomerec u III. zonu na zahtjev stanara dodaje se i odvojak Ulice Gjure Szaba radi stjecanja prava na povlaštenu parkirališnu kartu budući je u glavnoj Ulici Gjure Saba nedavno uvedena naplata parkiranja. Na području Gradske četvrti Novi Zagreb – istok, a temeljem zahtjeva Vijeća Mjesnog odbora i Gradske četvrti, uvodi se naplata u naselje Središće s ciljem rasterećenja parkirališta na tom području i povećanja njihove dostupnosti stanarima. Temeljem zahtjeva Gradske četvrti Podsused – Vrapče u III. zonu uvodi se parkiralište uz autobusni terminal na Vrapčanskoj aleji, parkiralište oko Doma zdravlja na adresi Vrabečak 4 te parkiralište na početku Bolničke ceste uz Tržnicu Vrapče.</w:t>
            </w:r>
          </w:p>
          <w:p w:rsidR="00AC7E02" w:rsidRDefault="00203F4D">
            <w:pPr>
              <w:pStyle w:val="ListParagraph"/>
              <w:ind w:left="0"/>
              <w:jc w:val="both"/>
            </w:pPr>
            <w:r>
              <w:rPr>
                <w:sz w:val="24"/>
                <w:szCs w:val="24"/>
              </w:rPr>
              <w:t>Na području GČ Trešnjevka - jug temeljem zahtjeva Vijeća MO Horvati – Srednjaci kojim je zatraženo uvođenje kontrole i naplate parkiranja, uvodi se u III. parkirališna zona koja je već prisutna na južnom dijelu ovog mjesnog odbora na parkiralištu ŠRC-a Mladost na Jarunskoj ulici.</w:t>
            </w:r>
          </w:p>
          <w:p w:rsidR="00AC7E02" w:rsidRDefault="00AC7E02">
            <w:pPr>
              <w:pStyle w:val="Standard"/>
              <w:jc w:val="both"/>
              <w:rPr>
                <w:b/>
              </w:rPr>
            </w:pPr>
          </w:p>
        </w:tc>
      </w:tr>
      <w:tr w:rsidR="00AC7E02">
        <w:trPr>
          <w:trHeight w:val="756"/>
        </w:trPr>
        <w:tc>
          <w:tcPr>
            <w:tcW w:w="10320" w:type="dxa"/>
            <w:gridSpan w:val="2"/>
            <w:tcBorders>
              <w:top w:val="single" w:sz="4" w:space="0" w:color="00000A"/>
              <w:left w:val="double" w:sz="12" w:space="0" w:color="00000A"/>
              <w:bottom w:val="double" w:sz="12" w:space="0" w:color="00000A"/>
              <w:right w:val="double" w:sz="12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7E02" w:rsidRDefault="00203F4D">
            <w:pPr>
              <w:pStyle w:val="Standard"/>
              <w:jc w:val="center"/>
            </w:pPr>
            <w:r>
              <w:rPr>
                <w:b/>
              </w:rPr>
              <w:lastRenderedPageBreak/>
              <w:t>Razdoblje internetskog savjetovanja</w:t>
            </w:r>
          </w:p>
          <w:p w:rsidR="00AC7E02" w:rsidRDefault="00203F4D">
            <w:pPr>
              <w:pStyle w:val="Standard"/>
              <w:jc w:val="center"/>
            </w:pPr>
            <w:r>
              <w:rPr>
                <w:b/>
                <w:i/>
              </w:rPr>
              <w:t>(11. 6. 2019. – 11. 7. 2019.)</w:t>
            </w:r>
          </w:p>
        </w:tc>
      </w:tr>
      <w:tr w:rsidR="00AC7E02" w:rsidTr="00D81C6A">
        <w:trPr>
          <w:trHeight w:val="1090"/>
        </w:trPr>
        <w:tc>
          <w:tcPr>
            <w:tcW w:w="4241" w:type="dxa"/>
            <w:tcBorders>
              <w:top w:val="double" w:sz="12" w:space="0" w:color="00000A"/>
              <w:left w:val="double" w:sz="12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7E02" w:rsidRDefault="00203F4D">
            <w:pPr>
              <w:pStyle w:val="Standard"/>
            </w:pPr>
            <w:r>
              <w:t>Ime i prezime osobe odnosno naziv predstavnika zainteresirane javnosti koja daje svoje primjedbe i prijedloge na predloženi nacrt</w:t>
            </w:r>
          </w:p>
        </w:tc>
        <w:tc>
          <w:tcPr>
            <w:tcW w:w="6079" w:type="dxa"/>
            <w:tcBorders>
              <w:top w:val="double" w:sz="12" w:space="0" w:color="00000A"/>
              <w:left w:val="single" w:sz="4" w:space="0" w:color="00000A"/>
              <w:bottom w:val="single" w:sz="4" w:space="0" w:color="00000A"/>
              <w:right w:val="double" w:sz="12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7E02" w:rsidRDefault="00AC7E02">
            <w:pPr>
              <w:pStyle w:val="Standard"/>
            </w:pPr>
          </w:p>
        </w:tc>
      </w:tr>
      <w:tr w:rsidR="00AC7E02" w:rsidTr="00D81C6A">
        <w:trPr>
          <w:trHeight w:val="689"/>
        </w:trPr>
        <w:tc>
          <w:tcPr>
            <w:tcW w:w="4241" w:type="dxa"/>
            <w:tcBorders>
              <w:top w:val="single" w:sz="4" w:space="0" w:color="00000A"/>
              <w:left w:val="double" w:sz="12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7E02" w:rsidRDefault="00203F4D">
            <w:pPr>
              <w:pStyle w:val="Standard"/>
            </w:pPr>
            <w:r>
              <w:t>Interes, odnosno kategorija i brojnost korisnika koje predstavljate</w:t>
            </w:r>
          </w:p>
        </w:tc>
        <w:tc>
          <w:tcPr>
            <w:tcW w:w="60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double" w:sz="12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7E02" w:rsidRDefault="00AC7E02">
            <w:pPr>
              <w:pStyle w:val="Standard"/>
            </w:pPr>
          </w:p>
        </w:tc>
      </w:tr>
      <w:tr w:rsidR="00AC7E02" w:rsidTr="00D81C6A">
        <w:trPr>
          <w:trHeight w:val="544"/>
        </w:trPr>
        <w:tc>
          <w:tcPr>
            <w:tcW w:w="4241" w:type="dxa"/>
            <w:tcBorders>
              <w:top w:val="single" w:sz="4" w:space="0" w:color="00000A"/>
              <w:left w:val="double" w:sz="12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7E02" w:rsidRDefault="00203F4D">
            <w:pPr>
              <w:pStyle w:val="Standard"/>
            </w:pPr>
            <w:r>
              <w:t>Načelne primjedbe i prijedlozi na predloženi nacrt akta s obrazloženjem</w:t>
            </w:r>
          </w:p>
        </w:tc>
        <w:tc>
          <w:tcPr>
            <w:tcW w:w="60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double" w:sz="12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7E02" w:rsidRDefault="00AC7E02">
            <w:pPr>
              <w:pStyle w:val="Standard"/>
            </w:pPr>
          </w:p>
          <w:p w:rsidR="00AC7E02" w:rsidRDefault="00203F4D">
            <w:pPr>
              <w:pStyle w:val="Standard"/>
            </w:pPr>
            <w:r>
              <w:rPr>
                <w:b/>
                <w:bCs/>
              </w:rPr>
              <w:t>Nismo</w:t>
            </w:r>
            <w:r>
              <w:t xml:space="preserve"> </w:t>
            </w:r>
            <w:r w:rsidR="00063013">
              <w:t>suglasni</w:t>
            </w:r>
            <w:r>
              <w:t xml:space="preserve"> s prijedlog da naselje Središće postane III. parkirna zona te smatramo da cijelo naselje Središće treba postati</w:t>
            </w:r>
            <w:r>
              <w:rPr>
                <w:b/>
                <w:bCs/>
              </w:rPr>
              <w:t xml:space="preserve"> II. parkirna zona,</w:t>
            </w:r>
            <w:r>
              <w:t xml:space="preserve"> a ovo su razlozi i objašnjenja:</w:t>
            </w:r>
          </w:p>
          <w:p w:rsidR="00AC7E02" w:rsidRDefault="00203F4D">
            <w:pPr>
              <w:pStyle w:val="ListParagraph"/>
              <w:numPr>
                <w:ilvl w:val="0"/>
                <w:numId w:val="2"/>
              </w:numPr>
              <w:jc w:val="both"/>
            </w:pPr>
            <w:r>
              <w:rPr>
                <w:sz w:val="24"/>
                <w:szCs w:val="24"/>
              </w:rPr>
              <w:t>trenutnim planom naplate parkiranja zona uz Bundek (Ulica Damira Tomljanovića - Gavrana i sjeverni dio SR Njemačke) ucrtani su kao II. zona, ukoliko naselje Središće postane III. parkirna zona bit ćemo suočeni pojačanim parkingom u kvartu, budući da će svi birati povoljniju III. zonu, nego parkiranje u višoj cjenovnoj razini uz Bundek. Ovo se posebno odnosi na vrijeme održavanja velikih manifestacija na Bundeku (Floraart, Festival vatrometa, Rujanfest i sl.).</w:t>
            </w:r>
            <w:r>
              <w:rPr>
                <w:color w:val="auto"/>
                <w:sz w:val="24"/>
                <w:szCs w:val="24"/>
              </w:rPr>
              <w:t xml:space="preserve"> Osim toga zona III. nije vremenski ograničena a zona II. je što će uvelike pomoći stanarima sa nalaženjem parkirnih mjesta posebno tokom dana i vikendom kada dolazi velik broj posjetitelja na Bundek. Iz tog razloga tražimo da se cijelo naselje Središće i ulice uz Bundek ujednače i stave u istu zonu, što bi građanima s mjesečnom kartom olakšalo pronalaženje parkinga u bilo kojem dijelu naselja.</w:t>
            </w:r>
          </w:p>
          <w:p w:rsidR="00AC7E02" w:rsidRDefault="00203F4D">
            <w:pPr>
              <w:pStyle w:val="ListParagraph"/>
              <w:numPr>
                <w:ilvl w:val="0"/>
                <w:numId w:val="1"/>
              </w:numPr>
              <w:jc w:val="both"/>
            </w:pPr>
            <w:r>
              <w:rPr>
                <w:sz w:val="24"/>
                <w:szCs w:val="24"/>
              </w:rPr>
              <w:t xml:space="preserve">mjesečna komercijalna parkirna karta za automobile koji dolaze iz drugih dijelova grada za II. zonu osjetno je viša od III. zone. Središće je naselje gdje je velika količina "dnevnih migranata" i gdje se nalazi puno poslovnih ureda velikih tvrtki i kompanija. Smatramo da ovi </w:t>
            </w:r>
            <w:r w:rsidR="00063013">
              <w:rPr>
                <w:sz w:val="24"/>
                <w:szCs w:val="24"/>
              </w:rPr>
              <w:t>korisnicima</w:t>
            </w:r>
            <w:r>
              <w:rPr>
                <w:sz w:val="24"/>
                <w:szCs w:val="24"/>
              </w:rPr>
              <w:t xml:space="preserve"> mogu parkirati na velikom parkiralištu kod INA-ine zgrade, gdje postoji povlaštena dnevna karta odnosno povoljna cijena</w:t>
            </w:r>
            <w:r>
              <w:rPr>
                <w:color w:val="auto"/>
                <w:sz w:val="24"/>
                <w:szCs w:val="24"/>
              </w:rPr>
              <w:t xml:space="preserve"> za mjesečnu kartu, no zbog neuređenog parkinga  korisnici parkirališnih usluga se za to ne odlučuju. No svakako, Zagr</w:t>
            </w:r>
            <w:r>
              <w:rPr>
                <w:sz w:val="24"/>
                <w:szCs w:val="24"/>
              </w:rPr>
              <w:t>ebparking bi trebao naglašavati ovu opciju građanima, jer mnogi nisu upoznati s tom mogućnosti i ra</w:t>
            </w:r>
            <w:r w:rsidR="00063013">
              <w:rPr>
                <w:sz w:val="24"/>
                <w:szCs w:val="24"/>
              </w:rPr>
              <w:t>dije</w:t>
            </w:r>
            <w:r>
              <w:rPr>
                <w:sz w:val="24"/>
                <w:szCs w:val="24"/>
              </w:rPr>
              <w:t xml:space="preserve"> parkiraju u samom naselju</w:t>
            </w:r>
          </w:p>
          <w:p w:rsidR="00AC7E02" w:rsidRDefault="00203F4D">
            <w:pPr>
              <w:pStyle w:val="ListParagraph"/>
              <w:numPr>
                <w:ilvl w:val="0"/>
                <w:numId w:val="1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Povoljnija III. zona od okruženja će uzrokovati još više „divljeg parkinga“ u naselju, koji otežava život roditeljima s djecom u kolicima te osobama u invalidskim kolicima, ujedno onemogućava pristup vatrogasnim vozilima te uništava kvartovsku infrastrukturu, s obzirom da </w:t>
            </w:r>
            <w:r>
              <w:rPr>
                <w:sz w:val="24"/>
                <w:szCs w:val="24"/>
              </w:rPr>
              <w:lastRenderedPageBreak/>
              <w:t>pločnici nisu projektirani za opterećenje automobilima</w:t>
            </w:r>
          </w:p>
          <w:p w:rsidR="00AC7E02" w:rsidRDefault="00203F4D">
            <w:pPr>
              <w:pStyle w:val="ListParagraph"/>
              <w:numPr>
                <w:ilvl w:val="0"/>
                <w:numId w:val="1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Svi ostali kvartovi u susjedstvu (Siget, Sopot, Utrine) imaju uvedenu II. (žutu) parkirnu zonu</w:t>
            </w:r>
          </w:p>
          <w:p w:rsidR="00AC7E02" w:rsidRDefault="00203F4D">
            <w:pPr>
              <w:pStyle w:val="ListParagraph"/>
              <w:numPr>
                <w:ilvl w:val="0"/>
                <w:numId w:val="1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Facebook anketa koju je provela Udruga građana Glog Središće pokazala je da 67% ispitanika želi uvođenje II. parkirne zone u naselju Središće.</w:t>
            </w:r>
          </w:p>
          <w:p w:rsidR="00AC7E02" w:rsidRDefault="00AC7E02">
            <w:pPr>
              <w:pStyle w:val="Standard"/>
            </w:pPr>
          </w:p>
        </w:tc>
      </w:tr>
      <w:tr w:rsidR="00AC7E02" w:rsidTr="00D81C6A">
        <w:trPr>
          <w:trHeight w:val="1339"/>
        </w:trPr>
        <w:tc>
          <w:tcPr>
            <w:tcW w:w="4241" w:type="dxa"/>
            <w:tcBorders>
              <w:top w:val="single" w:sz="4" w:space="0" w:color="00000A"/>
              <w:left w:val="double" w:sz="12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7E02" w:rsidRDefault="00203F4D">
            <w:pPr>
              <w:pStyle w:val="Standard"/>
            </w:pPr>
            <w:r>
              <w:lastRenderedPageBreak/>
              <w:t>Primjedbe i prijedlozi na pojedine članke nacrta prijedloga akta s obrazloženjem</w:t>
            </w:r>
          </w:p>
          <w:p w:rsidR="00AC7E02" w:rsidRDefault="00AC7E02">
            <w:pPr>
              <w:pStyle w:val="Standard"/>
              <w:rPr>
                <w:i/>
              </w:rPr>
            </w:pPr>
          </w:p>
        </w:tc>
        <w:tc>
          <w:tcPr>
            <w:tcW w:w="60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double" w:sz="12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7E02" w:rsidRDefault="00AC7E02">
            <w:pPr>
              <w:pStyle w:val="Standard"/>
            </w:pPr>
          </w:p>
        </w:tc>
      </w:tr>
      <w:tr w:rsidR="00AC7E02" w:rsidTr="00D81C6A">
        <w:trPr>
          <w:trHeight w:val="1236"/>
        </w:trPr>
        <w:tc>
          <w:tcPr>
            <w:tcW w:w="4241" w:type="dxa"/>
            <w:tcBorders>
              <w:top w:val="single" w:sz="4" w:space="0" w:color="00000A"/>
              <w:left w:val="double" w:sz="12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7E02" w:rsidRDefault="00203F4D">
            <w:pPr>
              <w:pStyle w:val="Standard"/>
            </w:pPr>
            <w:r>
              <w:t>Ime i prezime osobe (ili osoba) koja je sastavljala primjedbe i prijedloge ili osobe koja predstavlja zainteresiranu javnost, e-mail ili drugi podaci za kontakt</w:t>
            </w:r>
          </w:p>
        </w:tc>
        <w:tc>
          <w:tcPr>
            <w:tcW w:w="60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double" w:sz="12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7E02" w:rsidRDefault="00AC7E02">
            <w:pPr>
              <w:pStyle w:val="Standard"/>
            </w:pPr>
          </w:p>
        </w:tc>
      </w:tr>
      <w:tr w:rsidR="00AC7E02" w:rsidTr="00D81C6A">
        <w:trPr>
          <w:trHeight w:val="531"/>
        </w:trPr>
        <w:tc>
          <w:tcPr>
            <w:tcW w:w="4241" w:type="dxa"/>
            <w:tcBorders>
              <w:top w:val="single" w:sz="4" w:space="0" w:color="00000A"/>
              <w:left w:val="double" w:sz="12" w:space="0" w:color="00000A"/>
              <w:bottom w:val="double" w:sz="12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7E02" w:rsidRDefault="00203F4D">
            <w:pPr>
              <w:pStyle w:val="Standard"/>
            </w:pPr>
            <w:r>
              <w:t>Datum dostavljanja</w:t>
            </w:r>
          </w:p>
        </w:tc>
        <w:tc>
          <w:tcPr>
            <w:tcW w:w="6079" w:type="dxa"/>
            <w:tcBorders>
              <w:top w:val="single" w:sz="4" w:space="0" w:color="00000A"/>
              <w:left w:val="single" w:sz="4" w:space="0" w:color="00000A"/>
              <w:bottom w:val="double" w:sz="12" w:space="0" w:color="00000A"/>
              <w:right w:val="double" w:sz="12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7E02" w:rsidRDefault="00AC7E02">
            <w:pPr>
              <w:pStyle w:val="Standard"/>
            </w:pPr>
          </w:p>
        </w:tc>
      </w:tr>
    </w:tbl>
    <w:p w:rsidR="00D81C6A" w:rsidRDefault="00D81C6A">
      <w:pPr>
        <w:pStyle w:val="Standard"/>
        <w:jc w:val="center"/>
        <w:rPr>
          <w:b/>
        </w:rPr>
      </w:pPr>
    </w:p>
    <w:p w:rsidR="00AC7E02" w:rsidRDefault="00203F4D">
      <w:pPr>
        <w:pStyle w:val="Standard"/>
        <w:jc w:val="center"/>
      </w:pPr>
      <w:bookmarkStart w:id="0" w:name="_GoBack"/>
      <w:bookmarkEnd w:id="0"/>
      <w:r>
        <w:rPr>
          <w:b/>
        </w:rPr>
        <w:t>Važna napomena:</w:t>
      </w:r>
    </w:p>
    <w:p w:rsidR="00AC7E02" w:rsidRDefault="00203F4D">
      <w:pPr>
        <w:pStyle w:val="Standard"/>
        <w:jc w:val="center"/>
      </w:pPr>
      <w:r>
        <w:rPr>
          <w:b/>
        </w:rPr>
        <w:t>Popunjeni obrazac dostaviti na adresu elektroničke pošte: normativa@zagreb.hr</w:t>
      </w:r>
    </w:p>
    <w:p w:rsidR="00AC7E02" w:rsidRDefault="00203F4D">
      <w:pPr>
        <w:pStyle w:val="Standard"/>
        <w:jc w:val="center"/>
      </w:pPr>
      <w:r>
        <w:rPr>
          <w:b/>
        </w:rPr>
        <w:t>zaključno do 11. 7. 2019.</w:t>
      </w:r>
    </w:p>
    <w:p w:rsidR="00AC7E02" w:rsidRDefault="00AC7E02">
      <w:pPr>
        <w:pStyle w:val="Standard"/>
        <w:jc w:val="center"/>
        <w:rPr>
          <w:b/>
        </w:rPr>
      </w:pPr>
    </w:p>
    <w:p w:rsidR="00AC7E02" w:rsidRDefault="00203F4D">
      <w:pPr>
        <w:pStyle w:val="Standard"/>
        <w:jc w:val="both"/>
      </w:pPr>
      <w:r>
        <w:rPr>
          <w:b/>
          <w:color w:val="00000A"/>
        </w:rPr>
        <w:t>Po završetku savjetovanja, sve pristigle primjedbe/prijedlozi  biti će javno dostupni na internetskoj stranici Grada Zagreba. Ukoliko ne želite da Vaši osobni podaci (ime i prezime) budu javno objavljeni, molimo da to jasno istaknete pri slanju obrasca.</w:t>
      </w:r>
    </w:p>
    <w:p w:rsidR="00063013" w:rsidRDefault="00063013">
      <w:pPr>
        <w:pStyle w:val="FootnoteText"/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AC7E02" w:rsidRDefault="00203F4D">
      <w:pPr>
        <w:pStyle w:val="FootnoteText"/>
        <w:spacing w:after="0"/>
        <w:jc w:val="center"/>
      </w:pPr>
      <w:r>
        <w:rPr>
          <w:rFonts w:ascii="Times New Roman" w:hAnsi="Times New Roman"/>
          <w:b/>
          <w:sz w:val="24"/>
          <w:szCs w:val="24"/>
        </w:rPr>
        <w:t>Anonimni, uvredljivi i irelevantni komentari neće se objaviti.</w:t>
      </w:r>
    </w:p>
    <w:sectPr w:rsidR="00AC7E02" w:rsidSect="0036265E">
      <w:pgSz w:w="11906" w:h="16838"/>
      <w:pgMar w:top="1079" w:right="1417" w:bottom="1417" w:left="1417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30061" w:rsidRDefault="00430061">
      <w:r>
        <w:separator/>
      </w:r>
    </w:p>
  </w:endnote>
  <w:endnote w:type="continuationSeparator" w:id="0">
    <w:p w:rsidR="00430061" w:rsidRDefault="0043006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30061" w:rsidRDefault="00430061">
      <w:r>
        <w:rPr>
          <w:color w:val="000000"/>
        </w:rPr>
        <w:separator/>
      </w:r>
    </w:p>
  </w:footnote>
  <w:footnote w:type="continuationSeparator" w:id="0">
    <w:p w:rsidR="00430061" w:rsidRDefault="0043006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B3871D7"/>
    <w:multiLevelType w:val="multilevel"/>
    <w:tmpl w:val="135033F4"/>
    <w:styleLink w:val="WWNum6"/>
    <w:lvl w:ilvl="0">
      <w:numFmt w:val="bullet"/>
      <w:lvlText w:val="-"/>
      <w:lvlJc w:val="left"/>
      <w:rPr>
        <w:rFonts w:ascii="Arial" w:eastAsia="Times New Roman" w:hAnsi="Arial" w:cs="Aria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C7E02"/>
    <w:rsid w:val="00063013"/>
    <w:rsid w:val="00203F4D"/>
    <w:rsid w:val="0036265E"/>
    <w:rsid w:val="003F3261"/>
    <w:rsid w:val="00430061"/>
    <w:rsid w:val="009D56EA"/>
    <w:rsid w:val="00AC7E02"/>
    <w:rsid w:val="00D81C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kern w:val="3"/>
        <w:lang w:val="hr-HR" w:eastAsia="hr-HR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265E"/>
    <w:pPr>
      <w:suppressAutoHyphens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rsid w:val="0036265E"/>
    <w:pPr>
      <w:widowControl/>
      <w:suppressAutoHyphens/>
    </w:pPr>
    <w:rPr>
      <w:color w:val="000000"/>
      <w:sz w:val="24"/>
      <w:szCs w:val="24"/>
      <w:lang w:eastAsia="zh-CN"/>
    </w:rPr>
  </w:style>
  <w:style w:type="paragraph" w:customStyle="1" w:styleId="Heading">
    <w:name w:val="Heading"/>
    <w:basedOn w:val="Standard"/>
    <w:next w:val="Textbody"/>
    <w:rsid w:val="0036265E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Textbody">
    <w:name w:val="Text body"/>
    <w:basedOn w:val="Standard"/>
    <w:rsid w:val="0036265E"/>
    <w:pPr>
      <w:spacing w:after="120"/>
    </w:pPr>
  </w:style>
  <w:style w:type="paragraph" w:styleId="List">
    <w:name w:val="List"/>
    <w:basedOn w:val="Textbody"/>
    <w:rsid w:val="0036265E"/>
    <w:rPr>
      <w:rFonts w:cs="Mangal"/>
    </w:rPr>
  </w:style>
  <w:style w:type="paragraph" w:styleId="Caption">
    <w:name w:val="caption"/>
    <w:basedOn w:val="Standard"/>
    <w:rsid w:val="0036265E"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Standard"/>
    <w:rsid w:val="0036265E"/>
    <w:pPr>
      <w:suppressLineNumbers/>
    </w:pPr>
    <w:rPr>
      <w:rFonts w:cs="Mangal"/>
    </w:rPr>
  </w:style>
  <w:style w:type="paragraph" w:styleId="FootnoteText">
    <w:name w:val="footnote text"/>
    <w:basedOn w:val="Standard"/>
    <w:rsid w:val="0036265E"/>
    <w:pPr>
      <w:spacing w:after="200" w:line="276" w:lineRule="auto"/>
    </w:pPr>
    <w:rPr>
      <w:rFonts w:ascii="Calibri" w:eastAsia="Calibri" w:hAnsi="Calibri"/>
      <w:sz w:val="20"/>
      <w:szCs w:val="20"/>
      <w:lang w:eastAsia="en-US"/>
    </w:rPr>
  </w:style>
  <w:style w:type="paragraph" w:styleId="DocumentMap">
    <w:name w:val="Document Map"/>
    <w:basedOn w:val="Standard"/>
    <w:rsid w:val="0036265E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BalloonText">
    <w:name w:val="Balloon Text"/>
    <w:basedOn w:val="Standard"/>
    <w:rsid w:val="0036265E"/>
    <w:rPr>
      <w:rFonts w:ascii="Tahoma" w:hAnsi="Tahoma" w:cs="Tahoma"/>
      <w:sz w:val="16"/>
      <w:szCs w:val="16"/>
    </w:rPr>
  </w:style>
  <w:style w:type="paragraph" w:styleId="ListParagraph">
    <w:name w:val="List Paragraph"/>
    <w:basedOn w:val="Standard"/>
    <w:rsid w:val="0036265E"/>
    <w:pPr>
      <w:ind w:left="720"/>
    </w:pPr>
    <w:rPr>
      <w:sz w:val="22"/>
      <w:szCs w:val="20"/>
    </w:rPr>
  </w:style>
  <w:style w:type="paragraph" w:customStyle="1" w:styleId="TableContents">
    <w:name w:val="Table Contents"/>
    <w:basedOn w:val="Standard"/>
    <w:rsid w:val="0036265E"/>
    <w:pPr>
      <w:suppressLineNumbers/>
    </w:pPr>
  </w:style>
  <w:style w:type="character" w:customStyle="1" w:styleId="BalloonTextChar">
    <w:name w:val="Balloon Text Char"/>
    <w:rsid w:val="0036265E"/>
    <w:rPr>
      <w:rFonts w:ascii="Tahoma" w:hAnsi="Tahoma" w:cs="Tahoma"/>
      <w:sz w:val="16"/>
      <w:szCs w:val="16"/>
    </w:rPr>
  </w:style>
  <w:style w:type="character" w:customStyle="1" w:styleId="ListLabel2">
    <w:name w:val="ListLabel 2"/>
    <w:rsid w:val="0036265E"/>
    <w:rPr>
      <w:rFonts w:eastAsia="Times New Roman" w:cs="Arial"/>
    </w:rPr>
  </w:style>
  <w:style w:type="character" w:customStyle="1" w:styleId="ListLabel1">
    <w:name w:val="ListLabel 1"/>
    <w:rsid w:val="0036265E"/>
    <w:rPr>
      <w:rFonts w:cs="Courier New"/>
    </w:rPr>
  </w:style>
  <w:style w:type="numbering" w:customStyle="1" w:styleId="WWNum6">
    <w:name w:val="WWNum6"/>
    <w:basedOn w:val="NoList"/>
    <w:rsid w:val="0036265E"/>
    <w:pPr>
      <w:numPr>
        <w:numId w:val="1"/>
      </w:numPr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886</Words>
  <Characters>5056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OBRAZAC</vt:lpstr>
    </vt:vector>
  </TitlesOfParts>
  <Company/>
  <LinksUpToDate>false</LinksUpToDate>
  <CharactersWithSpaces>5931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OBRAZAC</dc:title>
  <dc:creator>azenko</dc:creator>
  <cp:lastModifiedBy>Minion-Touch</cp:lastModifiedBy>
  <cp:revision>2</cp:revision>
  <cp:lastPrinted>2019-06-11T11:13:00Z</cp:lastPrinted>
  <dcterms:created xsi:type="dcterms:W3CDTF">2019-07-07T08:32:00Z</dcterms:created>
  <dcterms:modified xsi:type="dcterms:W3CDTF">2019-07-07T08:32:00Z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Grad Zagreb</vt:lpwstr>
  </property>
  <property fmtid="{D5CDD505-2E9C-101B-9397-08002B2CF9AE}" pid="4" name="DocSecurity">
    <vt:r8>0</vt:r8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